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8"/>
        <w:tblW w:w="5000" w:type="pct"/>
        <w:tblInd w:w="0" w:type="dxa"/>
        <w:tblLayout w:type="autofit"/>
        <w:tblCellMar>
          <w:top w:w="0" w:type="dxa"/>
          <w:left w:w="0" w:type="dxa"/>
          <w:bottom w:w="0" w:type="dxa"/>
          <w:right w:w="0" w:type="dxa"/>
        </w:tblCellMar>
      </w:tblPr>
      <w:tblGrid>
        <w:gridCol w:w="8958"/>
      </w:tblGrid>
      <w:tr>
        <w:tblPrEx>
          <w:tblCellMar>
            <w:top w:w="0" w:type="dxa"/>
            <w:left w:w="0" w:type="dxa"/>
            <w:bottom w:w="0" w:type="dxa"/>
            <w:right w:w="0" w:type="dxa"/>
          </w:tblCellMar>
        </w:tblPrEx>
        <w:tc>
          <w:tcPr>
            <w:tcW w:w="0" w:type="auto"/>
            <w:vAlign w:val="center"/>
          </w:tcPr>
          <w:p>
            <w:pPr>
              <w:widowControl/>
              <w:jc w:val="center"/>
              <w:rPr>
                <w:rFonts w:ascii="微软雅黑" w:hAnsi="微软雅黑" w:eastAsia="微软雅黑" w:cs="宋体"/>
                <w:b/>
                <w:bCs/>
                <w:color w:val="333333"/>
                <w:kern w:val="0"/>
                <w:sz w:val="48"/>
                <w:szCs w:val="48"/>
              </w:rPr>
            </w:pPr>
            <w:r>
              <w:rPr>
                <w:rFonts w:hint="eastAsia" w:ascii="微软雅黑" w:hAnsi="微软雅黑" w:eastAsia="微软雅黑" w:cs="宋体"/>
                <w:b/>
                <w:bCs/>
                <w:color w:val="333333"/>
                <w:kern w:val="0"/>
                <w:sz w:val="48"/>
                <w:szCs w:val="48"/>
              </w:rPr>
              <w:t>广元市公安局利州区分局</w:t>
            </w:r>
          </w:p>
          <w:p>
            <w:pPr>
              <w:widowControl/>
              <w:jc w:val="center"/>
              <w:rPr>
                <w:rFonts w:ascii="微软雅黑" w:hAnsi="微软雅黑" w:eastAsia="微软雅黑" w:cs="宋体"/>
                <w:b/>
                <w:bCs/>
                <w:color w:val="333333"/>
                <w:kern w:val="0"/>
                <w:sz w:val="48"/>
                <w:szCs w:val="48"/>
              </w:rPr>
            </w:pPr>
            <w:r>
              <w:rPr>
                <w:rFonts w:hint="eastAsia" w:ascii="微软雅黑" w:hAnsi="微软雅黑" w:eastAsia="微软雅黑" w:cs="宋体"/>
                <w:b/>
                <w:bCs/>
                <w:color w:val="333333"/>
                <w:kern w:val="0"/>
                <w:sz w:val="48"/>
                <w:szCs w:val="48"/>
              </w:rPr>
              <w:t>2022年单位预算编制说明</w:t>
            </w:r>
          </w:p>
        </w:tc>
      </w:tr>
      <w:tr>
        <w:tblPrEx>
          <w:tblCellMar>
            <w:top w:w="0" w:type="dxa"/>
            <w:left w:w="0" w:type="dxa"/>
            <w:bottom w:w="0" w:type="dxa"/>
            <w:right w:w="0" w:type="dxa"/>
          </w:tblCellMar>
        </w:tblPrEx>
        <w:trPr>
          <w:trHeight w:val="450" w:hRule="atLeast"/>
        </w:trPr>
        <w:tc>
          <w:tcPr>
            <w:tcW w:w="0" w:type="auto"/>
            <w:vAlign w:val="center"/>
          </w:tcPr>
          <w:p>
            <w:pPr>
              <w:widowControl/>
              <w:jc w:val="center"/>
              <w:rPr>
                <w:rFonts w:ascii="微软雅黑" w:hAnsi="微软雅黑" w:eastAsia="微软雅黑" w:cs="宋体"/>
                <w:color w:val="333333"/>
                <w:kern w:val="0"/>
                <w:sz w:val="48"/>
                <w:szCs w:val="48"/>
              </w:rPr>
            </w:pPr>
          </w:p>
          <w:p>
            <w:pPr>
              <w:widowControl/>
              <w:jc w:val="center"/>
              <w:rPr>
                <w:rFonts w:ascii="微软雅黑" w:hAnsi="微软雅黑" w:eastAsia="微软雅黑" w:cs="宋体"/>
                <w:color w:val="333333"/>
                <w:kern w:val="0"/>
                <w:sz w:val="36"/>
                <w:szCs w:val="36"/>
              </w:rPr>
            </w:pPr>
            <w:r>
              <w:rPr>
                <w:rFonts w:hint="eastAsia" w:ascii="微软雅黑" w:hAnsi="微软雅黑" w:eastAsia="微软雅黑" w:cs="宋体"/>
                <w:color w:val="333333"/>
                <w:kern w:val="0"/>
                <w:sz w:val="36"/>
                <w:szCs w:val="36"/>
              </w:rPr>
              <w:t xml:space="preserve">2022-03-08 </w:t>
            </w:r>
          </w:p>
          <w:p>
            <w:pPr>
              <w:widowControl/>
              <w:shd w:val="clear" w:color="auto" w:fill="FFFFFF"/>
              <w:spacing w:line="480" w:lineRule="auto"/>
              <w:jc w:val="center"/>
              <w:rPr>
                <w:rFonts w:ascii="微软雅黑" w:hAnsi="微软雅黑" w:eastAsia="微软雅黑" w:cs="Calibri"/>
                <w:color w:val="000000"/>
                <w:kern w:val="0"/>
                <w:sz w:val="44"/>
                <w:szCs w:val="44"/>
              </w:rPr>
            </w:pPr>
            <w:r>
              <w:rPr>
                <w:rFonts w:hint="eastAsia" w:ascii="微软雅黑" w:hAnsi="微软雅黑" w:eastAsia="微软雅黑" w:cs="Calibri"/>
                <w:b/>
                <w:bCs/>
                <w:color w:val="000000"/>
                <w:kern w:val="0"/>
                <w:sz w:val="44"/>
                <w:szCs w:val="44"/>
              </w:rPr>
              <w:t>目 录</w:t>
            </w:r>
          </w:p>
        </w:tc>
      </w:tr>
      <w:tr>
        <w:tblPrEx>
          <w:tblCellMar>
            <w:top w:w="0" w:type="dxa"/>
            <w:left w:w="0" w:type="dxa"/>
            <w:bottom w:w="0" w:type="dxa"/>
            <w:right w:w="0" w:type="dxa"/>
          </w:tblCellMar>
        </w:tblPrEx>
        <w:trPr>
          <w:trHeight w:val="75" w:hRule="atLeast"/>
        </w:trPr>
        <w:tc>
          <w:tcPr>
            <w:tcW w:w="0" w:type="auto"/>
            <w:vAlign w:val="center"/>
          </w:tcPr>
          <w:p>
            <w:pPr>
              <w:widowControl/>
              <w:jc w:val="left"/>
              <w:rPr>
                <w:rFonts w:ascii="微软雅黑" w:hAnsi="微软雅黑" w:eastAsia="微软雅黑" w:cs="宋体"/>
                <w:color w:val="333333"/>
                <w:kern w:val="0"/>
                <w:sz w:val="8"/>
                <w:szCs w:val="21"/>
              </w:rPr>
            </w:pPr>
          </w:p>
        </w:tc>
      </w:tr>
      <w:tr>
        <w:tblPrEx>
          <w:tblCellMar>
            <w:top w:w="0" w:type="dxa"/>
            <w:left w:w="0" w:type="dxa"/>
            <w:bottom w:w="0" w:type="dxa"/>
            <w:right w:w="0" w:type="dxa"/>
          </w:tblCellMar>
        </w:tblPrEx>
        <w:tc>
          <w:tcPr>
            <w:tcW w:w="0" w:type="auto"/>
            <w:vAlign w:val="center"/>
          </w:tcPr>
          <w:p>
            <w:pPr>
              <w:widowControl/>
              <w:jc w:val="left"/>
              <w:rPr>
                <w:rFonts w:ascii="微软雅黑" w:hAnsi="微软雅黑" w:eastAsia="微软雅黑" w:cs="宋体"/>
                <w:color w:val="333333"/>
                <w:kern w:val="0"/>
                <w:szCs w:val="21"/>
              </w:rPr>
            </w:pPr>
            <w:r>
              <w:rPr>
                <w:rFonts w:ascii="微软雅黑" w:hAnsi="微软雅黑" w:eastAsia="微软雅黑" w:cs="Calibri"/>
                <w:color w:val="000000"/>
                <w:kern w:val="0"/>
                <w:sz w:val="27"/>
                <w:szCs w:val="27"/>
              </w:rPr>
              <w:t>一、基本职能及主要工作...........................................................................................3</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（一）单位职能简介...................................................................................................3</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（二）单位2022年重点工作.....................................................................................5</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二、部门预算单位构成...............................................................................................5</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三、收支预算情况说明..............................................................................................6</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（一）收入预算情况...................................................................................................6</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（二）支出预算情况...................................................................................................6</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四、财政拨款收支预算情况说明...............................................................................6</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五、一般公共预算当年拨款情况说明.....................................................................7</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（一）一般公共预算当年拨款规模变化情况.........................................................7</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（二）一般公共预算当年拨款结构情况................................................................7</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（三）一般公共预算当年拨款具体使用情况........................................................</w:t>
            </w:r>
            <w:r>
              <w:rPr>
                <w:rFonts w:hint="eastAsia" w:ascii="微软雅黑" w:hAnsi="微软雅黑" w:eastAsia="微软雅黑" w:cs="Calibri"/>
                <w:color w:val="000000"/>
                <w:kern w:val="0"/>
                <w:sz w:val="27"/>
                <w:szCs w:val="27"/>
              </w:rPr>
              <w:t>8</w:t>
            </w:r>
            <w:r>
              <w:rPr>
                <w:rFonts w:ascii="微软雅黑" w:hAnsi="微软雅黑" w:eastAsia="微软雅黑" w:cs="Calibri"/>
                <w:color w:val="000000"/>
                <w:kern w:val="0"/>
                <w:sz w:val="27"/>
                <w:szCs w:val="27"/>
              </w:rPr>
              <w:t>六、一般公共预算基本支出情况说明.....................................................................9</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七、“三公”经费财政拨款预算安排情况说明.....................................................9</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（一）公务接待费与2021年预算相比..................................................................</w:t>
            </w:r>
            <w:r>
              <w:rPr>
                <w:rFonts w:hint="eastAsia" w:ascii="微软雅黑" w:hAnsi="微软雅黑" w:eastAsia="微软雅黑" w:cs="Calibri"/>
                <w:color w:val="000000"/>
                <w:kern w:val="0"/>
                <w:sz w:val="27"/>
                <w:szCs w:val="27"/>
              </w:rPr>
              <w:t>9</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（二）公务用车购置及运行维护费与2021年预算相比.....................................</w:t>
            </w:r>
            <w:r>
              <w:rPr>
                <w:rFonts w:hint="eastAsia" w:ascii="微软雅黑" w:hAnsi="微软雅黑" w:eastAsia="微软雅黑" w:cs="Calibri"/>
                <w:color w:val="000000"/>
                <w:kern w:val="0"/>
                <w:sz w:val="27"/>
                <w:szCs w:val="27"/>
              </w:rPr>
              <w:t>9</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（三）因公出国（境）经费与2021年预算相比.....................................................10</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八、政府性基金预算支出情况说明........................................................................10</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九、国有资本经营预算支出情况说明....................................................................1</w:t>
            </w:r>
            <w:r>
              <w:rPr>
                <w:rFonts w:hint="eastAsia" w:ascii="微软雅黑" w:hAnsi="微软雅黑" w:eastAsia="微软雅黑" w:cs="Calibri"/>
                <w:color w:val="000000"/>
                <w:kern w:val="0"/>
                <w:sz w:val="27"/>
                <w:szCs w:val="27"/>
              </w:rPr>
              <w:t>0</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十、其他重要事项的情况说明................................................................................1</w:t>
            </w:r>
            <w:r>
              <w:rPr>
                <w:rFonts w:hint="eastAsia" w:ascii="微软雅黑" w:hAnsi="微软雅黑" w:eastAsia="微软雅黑" w:cs="Calibri"/>
                <w:color w:val="000000"/>
                <w:kern w:val="0"/>
                <w:sz w:val="27"/>
                <w:szCs w:val="27"/>
              </w:rPr>
              <w:t>0</w:t>
            </w:r>
            <w:r>
              <w:rPr>
                <w:rFonts w:ascii="微软雅黑" w:hAnsi="微软雅黑" w:eastAsia="微软雅黑" w:cs="Calibri"/>
                <w:color w:val="000000"/>
                <w:kern w:val="0"/>
                <w:sz w:val="27"/>
                <w:szCs w:val="27"/>
              </w:rPr>
              <w:br w:type="textWrapping"/>
            </w:r>
            <w:r>
              <w:rPr>
                <w:rFonts w:ascii="微软雅黑" w:hAnsi="微软雅黑" w:eastAsia="微软雅黑" w:cs="Calibri"/>
                <w:color w:val="000000"/>
                <w:kern w:val="0"/>
                <w:sz w:val="27"/>
                <w:szCs w:val="27"/>
              </w:rPr>
              <w:t>十一、名词解释........................................................................................................1</w:t>
            </w:r>
            <w:r>
              <w:rPr>
                <w:rFonts w:hint="eastAsia" w:ascii="微软雅黑" w:hAnsi="微软雅黑" w:eastAsia="微软雅黑" w:cs="Calibri"/>
                <w:color w:val="000000"/>
                <w:kern w:val="0"/>
                <w:sz w:val="27"/>
                <w:szCs w:val="27"/>
              </w:rPr>
              <w:t>1</w:t>
            </w:r>
          </w:p>
        </w:tc>
      </w:tr>
      <w:tr>
        <w:tblPrEx>
          <w:tblCellMar>
            <w:top w:w="0" w:type="dxa"/>
            <w:left w:w="0" w:type="dxa"/>
            <w:bottom w:w="0" w:type="dxa"/>
            <w:right w:w="0" w:type="dxa"/>
          </w:tblCellMar>
        </w:tblPrEx>
        <w:trPr>
          <w:trHeight w:val="150" w:hRule="atLeast"/>
        </w:trPr>
        <w:tc>
          <w:tcPr>
            <w:tcW w:w="0" w:type="auto"/>
            <w:vAlign w:val="center"/>
          </w:tcPr>
          <w:p>
            <w:pPr>
              <w:widowControl/>
              <w:jc w:val="left"/>
              <w:rPr>
                <w:rFonts w:ascii="微软雅黑" w:hAnsi="微软雅黑" w:eastAsia="微软雅黑" w:cs="宋体"/>
                <w:color w:val="333333"/>
                <w:kern w:val="0"/>
                <w:sz w:val="16"/>
                <w:szCs w:val="21"/>
              </w:rPr>
            </w:pPr>
          </w:p>
        </w:tc>
      </w:tr>
      <w:tr>
        <w:tblPrEx>
          <w:tblCellMar>
            <w:top w:w="0" w:type="dxa"/>
            <w:left w:w="0" w:type="dxa"/>
            <w:bottom w:w="0" w:type="dxa"/>
            <w:right w:w="0" w:type="dxa"/>
          </w:tblCellMar>
        </w:tblPrEx>
        <w:tc>
          <w:tcPr>
            <w:tcW w:w="0" w:type="auto"/>
            <w:vAlign w:val="center"/>
          </w:tcPr>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p>
          <w:p>
            <w:pPr>
              <w:widowControl/>
              <w:spacing w:line="600" w:lineRule="atLeast"/>
              <w:ind w:firstLine="645"/>
              <w:jc w:val="left"/>
              <w:textAlignment w:val="baseline"/>
              <w:rPr>
                <w:rFonts w:ascii="楷体" w:hAnsi="楷体" w:eastAsia="楷体" w:cs="宋体"/>
                <w:b/>
                <w:bCs/>
                <w:color w:val="333333"/>
                <w:kern w:val="0"/>
                <w:sz w:val="32"/>
                <w:szCs w:val="32"/>
              </w:rPr>
            </w:pPr>
            <w:r>
              <w:rPr>
                <w:rFonts w:hint="eastAsia" w:ascii="楷体" w:hAnsi="楷体" w:eastAsia="楷体" w:cs="宋体"/>
                <w:b/>
                <w:bCs/>
                <w:color w:val="333333"/>
                <w:kern w:val="0"/>
                <w:sz w:val="32"/>
                <w:szCs w:val="32"/>
              </w:rPr>
              <w:t>一、基本职能及主要工作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（一）单位职能简介</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主要职责职能：</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1.贯彻执行党和国家公安工作的方针、政策和法律、法规、规章；部署、指导、监督、检查全区公安工作；负责本系统、本部门依法行政工作，落实行政执法责任制。</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2.组织、指导、协调全区公安机关应急管理、抢险救援工作和社会公共突发事件的处置工作。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3.收集掌握影响稳定、危害国内安全和社会治安的情况，分析研判形势，制定对策。</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4.组织指导全区公安机关侦查工作，协调或直接侦办全区重大刑事案件、国内危害国家安全的犯罪案件及重大经济犯罪案件。</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5.负责全区治安管理工作并承担相应责任。协调处置全区重大治安案件和群体性事件，指导、监督全区公安机关依法查处破坏社会治安秩序行为，依法开展治安行政管理工作，指导、监督全区公安机关治安保卫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6.负责全区出入境管理有关工作。依法管理国籍，组织、指导全区出境、入境和持普通护照的外国人在广居留、旅行的有关管理工作。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7.指导、协调全区消防监督、火灾预防、火灾扑救工作。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8.负责全区乡村道路交通安全管理工作并承担相应责任。指导、监督全区公安机关维护乡村道路交通安全、交通秩序以及开展机动车辆（不含拖拉机）、驾驶人管理工作。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9.指导、监督全区公安机关对公共信息网络的安全保护工作，负责信息安全等级保护工作的监督、检查、指导。</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10.防范、处置邪教及有害气功组织的违法犯罪活动。</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11.组织、指导、协调对恐怖活动的情报、防范、侦察和应急处置工作。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12.指导、监督全区公安机关依法承担的执行刑罚和监督、考察工作；指导、监督全区看守所、拘留所、强制隔离戒毒所的管理工作。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13.指导全公区安全警卫业务工作，组织实施对有关的党和国家领导人以及重要外宾在广的安全警卫工作并承担相应责任。</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14.组织实施全区公安科学技术工作，组织、指导、规划全公区安机关的指挥系统、信息技术、刑事技术建设。</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15.拟订全市区公安机关装备、被装和经费等警务保障计划及管理制度，组织协调全区公安机关重大任务的警务保障工作。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16.组织开展同区外公安机关、港澳台警方及外国内政警察机构的交往与业务合作。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17.指导区内森林警察等专门公安业务工作。</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18.指导全区公安队伍建设和公安机关党风廉政建设，组织、指导全市公安机关人事管理、民警教育训练和宣传工作，按规定权限管理干部，拟订全区公安队伍监督管理工作规章制度，组织、指导全区公安机关督察、审计、信访工作，指导、监督全区公安机关及人民警察的执法活动，按规定权限实施对干部的监督、查处或督办公安队伍重大违纪案件。</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19.承担市、区两级政府公布的有关行政审批事项。</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20.承办区政府和省、市两级公安机关交办的其他事项。</w:t>
            </w:r>
          </w:p>
          <w:p>
            <w:pPr>
              <w:widowControl/>
              <w:spacing w:line="600" w:lineRule="atLeast"/>
              <w:ind w:firstLine="645"/>
              <w:jc w:val="left"/>
              <w:textAlignment w:val="baseline"/>
              <w:rPr>
                <w:rFonts w:ascii="楷体" w:hAnsi="楷体" w:eastAsia="楷体" w:cs="宋体"/>
                <w:b/>
                <w:bCs/>
                <w:color w:val="333333"/>
                <w:kern w:val="0"/>
                <w:sz w:val="32"/>
                <w:szCs w:val="32"/>
              </w:rPr>
            </w:pPr>
            <w:r>
              <w:rPr>
                <w:rFonts w:hint="eastAsia" w:ascii="楷体" w:hAnsi="楷体" w:eastAsia="楷体" w:cs="宋体"/>
                <w:b/>
                <w:bCs/>
                <w:color w:val="333333"/>
                <w:kern w:val="0"/>
                <w:sz w:val="32"/>
                <w:szCs w:val="32"/>
              </w:rPr>
              <w:t>（二）2022年重点工作</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2022年，要坚持以习近平新时代中国特色社会主义思想为指导，认真贯彻习近平总书记对公安工作的系列重要讲话、指示，全面贯彻全国、省、市政法、公安工作会议等系列精神，坚持党的绝对领导，坚持“稳字当头、稳如磐石、稳中求进”总基调，紧紧围绕省厅“1357”发展战略和市局“1335”、分局“1234”工作思路，紧扣党的二十大安保维稳主线，以“磐石”系列专项行动为抓手，继续保持利州公安“走前列、扛红旗、当标兵”，着力锻造“三个绝对”“四个铁一般”利州公安铁军，全力确保政治更安全、社会更安定、人民更安宁，实现利州公安工作高质量发展新突破，为党的二十大胜利召开献平安礼。</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二、部门预算单位构成</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广元市公安局利州区分局为市公安局二级预算单位，利州区一级预算单位，无下属二级预算单位。区级财政预算内容已在区政府单独公开。</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广元市公安局利州区分局总编制422名</w:t>
            </w:r>
            <w:r>
              <w:rPr>
                <w:rFonts w:hint="eastAsia" w:ascii="仿宋_GB2312" w:hAnsi="微软雅黑" w:eastAsia="仿宋_GB2312" w:cs="宋体"/>
                <w:color w:val="333333"/>
                <w:kern w:val="0"/>
                <w:sz w:val="32"/>
                <w:szCs w:val="32"/>
                <w:lang w:val="en-US" w:eastAsia="zh-CN"/>
              </w:rPr>
              <w:t>,</w:t>
            </w:r>
            <w:bookmarkStart w:id="0" w:name="_GoBack"/>
            <w:bookmarkEnd w:id="0"/>
            <w:r>
              <w:rPr>
                <w:rFonts w:hint="eastAsia" w:ascii="仿宋_GB2312" w:hAnsi="微软雅黑" w:eastAsia="仿宋_GB2312" w:cs="宋体"/>
                <w:color w:val="333333"/>
                <w:kern w:val="0"/>
                <w:sz w:val="32"/>
                <w:szCs w:val="32"/>
              </w:rPr>
              <w:t>其中政法编制数395名，工勤编制数27名。在职人员409人，其中行政人员388人，工勤人员21人;市财政供养退休人员95人。固定资产2365.65万元。</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三、收支预算情况说明</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按照综合预算的原则，广元市公安局利州区分局所有收入及支出均纳入部门预算管理。收入包括：一般公共预算拨款收入、上年结转、其他收入；支出包括：公共安全支出、社会保障和就业支出、卫生健康支出、住房保障支出。广元市公安局利州区分局2022年收支总预算8330.91万元,比2021年收支预算总数增加522.70万元，扣除上年结转资金、一次性安排等因素后，同口径增加522.70万元，主要原因是单位新招录民警致人员经费及公用经费增加，同时2022年代管资金按其他收入口径纳入了部门预算。</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（一）收入预算情况</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广元市公安局利州区分局2022年收入预算8330.91万元，其中：上年结转0万元；一般公共预算拨款收入8099.41万元，占97.22%，其他收入（代管资金）231.5万元，占2.78%。</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（二）支出预算情况</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广元市公安局利州区分局2022年支出预算8330.91万元，其中：基本支出7350.29万元，占88.23%；项目支出980.62万元，占11.77%。</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四、财政拨款收支预算情况说明</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2022年财政拨款收支总预算8099.41万元,比2021年财政拨款收支总预算增加291.20万元，扣除上年结转资金、一次性安排等因素后，同口径增加291.20万元，主要原因是单位新进民警及机关事业单位基本工资调标后，工资津补贴及住房公积金、医疗保险等人员经费相应增加。</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收入包括：本年市本级一般公共预算拨款收入8099.41万元，上年结转一般公共预算拨款收入0；支出包括：公共安全支出6633.55万元、社会保障和就业支出534.71万元、卫生健康支出318.24万元、住房保障支出612.91万元。</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五、一般公共预算当年拨款情况说明</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（一）一般公共预算当年拨款规模变化情况</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广元市公安局利州区分局2022年一般公共预算当年拨款8099.41万元，比2021年预算数增加291.20万元，主要原因单位新进民警及机关事业单位基本工资调标后，工资津补贴及住房公积金、医疗保险等人员经费相应增加。</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（二）一般公共预算当年拨款结构情况</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公共安全支出6633.55万元，占81.9%；社会保障和就业支出534.71万元，占6.6%；卫生健康支出318.24万元，占3.93%；住房保障支出612.91万元，占7.57%。</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（三）一般公共预算当年拨款具体使用情况</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1.公共安全支出（类）公安（款）行政运行（项）2022年预算数为5884.43万元，主要用于：人员的工资待遇、社会保险、日常办公用品等基本支出。</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2.公共安全（类）公安（款）一般行政管理事务（项）2022年预算数为470.36万元，主要用于：民警法定节假日加班补贴和基层派出所民警午餐补助两个项目支出。</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3.公共安全（类）公安（款）执法办案（项）2022年预算数为278.76万元，主要用于：公安机关从事行政执法、刑事司法及侦查办案等活动的支出。</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4.社会保障和就业（类）行政事业单位养老支出（款）机关事业单位基本养老保险缴费支出（项）2022年预算数为534.71万元，主要用于：机关事业单位实施养老保险制度由单位缴纳的基本养老保险费支出。</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5.公共健康（类）行政事业单位医疗（款）行政单位医疗（项）2022年预算数为318.24万元，主要用于：单位职工的基本医疗缴费。</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6.住房保障（类）住房改革支出（款）住房公积金（项）2022年预算数为612.91万元，主要用于：部门按规定为职工缴纳的住房公积金支出。</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六、一般公共预算基本支出情况说明</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广元市公安局利州区分局2022年一般公共预算基本支出7350.29万元，其中：人员经费6257.91万元，主要包括：基本工资、津贴补贴、奖金、社会保险缴费、离休费、住房公积金等支出。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公用经费1092.38万元，主要包括：办公费、印刷费、水费、电费、邮电费、物业管理费、差旅费、维修（护）费、会议费、培训费、公务接待费、劳务费、工会经费、福利费、公务用车运行维护费、其他交通费用等支出。</w:t>
            </w:r>
          </w:p>
          <w:p>
            <w:pPr>
              <w:widowControl/>
              <w:spacing w:line="600" w:lineRule="atLeast"/>
              <w:ind w:firstLine="645"/>
              <w:jc w:val="left"/>
              <w:textAlignment w:val="baseline"/>
              <w:rPr>
                <w:rFonts w:ascii="黑体" w:hAnsi="黑体" w:eastAsia="黑体" w:cs="宋体"/>
                <w:color w:val="333333"/>
                <w:kern w:val="0"/>
                <w:sz w:val="32"/>
                <w:szCs w:val="32"/>
              </w:rPr>
            </w:pPr>
            <w:r>
              <w:rPr>
                <w:rFonts w:hint="eastAsia" w:ascii="黑体" w:hAnsi="黑体" w:eastAsia="黑体" w:cs="宋体"/>
                <w:color w:val="333333"/>
                <w:kern w:val="0"/>
                <w:sz w:val="32"/>
                <w:szCs w:val="32"/>
              </w:rPr>
              <w:t>七、“三公”经费财政拨款预算安排情况说明</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广元市公安局利州区分局2022年“三公”经费财政拨款预算数123万元，其中：公务接待费3万元，公务用车购置及运行维护费120万元，因公出国（境）经费0万元。</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b/>
                <w:color w:val="333333"/>
                <w:kern w:val="0"/>
                <w:sz w:val="32"/>
                <w:szCs w:val="32"/>
              </w:rPr>
              <w:t>（一）公务接待费与2021年预算相比</w:t>
            </w:r>
            <w:r>
              <w:rPr>
                <w:rFonts w:hint="eastAsia" w:ascii="仿宋_GB2312" w:hAnsi="微软雅黑" w:eastAsia="仿宋_GB2312" w:cs="宋体"/>
                <w:color w:val="333333"/>
                <w:kern w:val="0"/>
                <w:sz w:val="32"/>
                <w:szCs w:val="32"/>
              </w:rPr>
              <w:t>减少2万元，原因是厉行节约、严格管控公务接待的人员、数量和批次。</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2022年公务接待费计划用于执行接待考察调研、检查指导等公务活动开支的交通费、住宿费、用餐费等。</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b/>
                <w:color w:val="333333"/>
                <w:kern w:val="0"/>
                <w:sz w:val="32"/>
                <w:szCs w:val="32"/>
              </w:rPr>
              <w:t>（二）公务用车购置及运行维护费与2021年预算相比</w:t>
            </w:r>
            <w:r>
              <w:rPr>
                <w:rFonts w:hint="eastAsia" w:ascii="仿宋_GB2312" w:hAnsi="微软雅黑" w:eastAsia="仿宋_GB2312" w:cs="宋体"/>
                <w:color w:val="333333"/>
                <w:kern w:val="0"/>
                <w:sz w:val="32"/>
                <w:szCs w:val="32"/>
              </w:rPr>
              <w:t>增加100万元。截止2021年12月31日，分局公务用车编制数93辆，其中市财政保障执法执勤车47辆，由于公安执法执勤车辆有限、使用频繁，单车全年运行平均费用2.55万元。2019-2021年三年来，分局公务用车运行维护费用实际每年预算20万元，与实际支出差距较大。根据历年审计对分局提出的整改意见和“无预算不支出”的要求，2022年，分局呈请市财政局在压缩其他公用经费的情况下，将公务用车运行维护费调高至120万元。</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单位现有市财政保障公务用车47辆，其中：轿车15辆，其他车型32辆。</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2022年安排公务用车运行维护费120万元，用于47辆公务用车燃油、过路（桥）、维修、保险等方面支出，主要保障特巡警、刑侦、经侦、治安、派出所等执法办案部门执法执勤用车相关支出。2022年市本级公务用车购置费0万元，无公务用车购置计划。</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b/>
                <w:color w:val="333333"/>
                <w:kern w:val="0"/>
                <w:sz w:val="32"/>
                <w:szCs w:val="32"/>
              </w:rPr>
              <w:t>（三）因公出国（境）费用与2021年预算相比</w:t>
            </w:r>
            <w:r>
              <w:rPr>
                <w:rFonts w:hint="eastAsia" w:ascii="仿宋_GB2312" w:hAnsi="微软雅黑" w:eastAsia="仿宋_GB2312" w:cs="宋体"/>
                <w:color w:val="333333"/>
                <w:kern w:val="0"/>
                <w:sz w:val="32"/>
                <w:szCs w:val="32"/>
              </w:rPr>
              <w:t>持平。2022年部门预算未编列因公出国（境）经费，未安排出国（境）任务和计划。</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八、政府性基金预算支出情况说明</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广元市公安局利州区分局2022年没有使用政府性基金预算拨款安排的支出。</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九、国有资本经营预算支出情况说明</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广元市公安局利州区分局2022年没有使用国有资本经营预算拨款安排的支出。</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十、其他重要事项的情况说明</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（一）机关运行经费</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2022年，广元市公安局利州区分局的机关运行经费财政拨款预算为1092.38万元，比2021年预算增加12.45万元，增加1.15%。主要原因为单位新进民警增加机关运行经费相应增加。</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（二）政府采购情况</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2022年分局采购项目均在利州区本级预算中申报。</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（三）国有资产占有使用情况</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截至2021年底，广元市公安局利州区分局共有市财政保障车辆47辆，其中，领导干部用车0辆、定向保障用车0辆、执法执勤用车47辆。单位价值50万元以上大型设备市区财政合计11台（套）。</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楷体" w:hAnsi="楷体" w:eastAsia="楷体" w:cs="宋体"/>
                <w:b/>
                <w:bCs/>
                <w:color w:val="333333"/>
                <w:kern w:val="0"/>
                <w:sz w:val="32"/>
                <w:szCs w:val="32"/>
              </w:rPr>
              <w:t>（四）绩效目标设置情况</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绩效目标是预算编制的前提和基础，2022年广元市公安局利州区分局单位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黑体" w:hAnsi="黑体" w:eastAsia="黑体" w:cs="宋体"/>
                <w:color w:val="333333"/>
                <w:kern w:val="0"/>
                <w:sz w:val="32"/>
                <w:szCs w:val="32"/>
              </w:rPr>
              <w:t>十一、名词解释</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（一）一般公共预算拨款收入：指市级财政当年拨付的资金。</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（二）上年结转：指以前年度尚未完成，结转到本年仍按原规定用途继续使用的资金。</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（三）公共安全（类）公安（款）行政运行（项）：指公安机关及参公管理事业单位用于保障机构正常运行、开展日常工作的基本支出。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（四）公共安全（类）公安（款）一般行政管理事务（项）：指公安机关及参公管理事业单位开展公安综合业务等未单独设置项级科目的专门性公安管理工作的项目支出。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（五） 公共安全（类）公安（款）执法办案（项）：指公安机关从事行政执法、刑事司法及侦查办案等相关活动支出。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（六）社会保障和就业（类）行政事业单位养老支出（款）机关事业单位基本养老保险缴费支出（项）：指部门实施养老保险制度由单位缴纳的养老保险的支出。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（七）卫生健康（类）行政事业单位医疗（款）行政单位医疗（项）：指机关及参公管理事业单位用于单位应缴纳基本医疗保险支出。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（八）住房保障（类）住房改革支出（款）住房公积金（项）：指按照《住房公积金管理条例》的规定，由单位及其在职职工缴存的长期住房储金。</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（九）基本支出：指为保证机构正常运转，完成日常工作任务而发生的人员支出和公用支出。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（十）项目支出：指在基本支出之外为完成特定行政任务和事业发展目标所发生的支出。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十一）“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十二）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widowControl/>
              <w:spacing w:line="600" w:lineRule="atLeast"/>
              <w:ind w:firstLine="645"/>
              <w:jc w:val="left"/>
              <w:textAlignment w:val="baseline"/>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附件1：单位预算公开表</w:t>
            </w:r>
          </w:p>
          <w:p>
            <w:pPr>
              <w:widowControl/>
              <w:spacing w:line="600" w:lineRule="atLeast"/>
              <w:ind w:firstLine="645"/>
              <w:jc w:val="left"/>
              <w:textAlignment w:val="baseline"/>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32"/>
                <w:szCs w:val="32"/>
              </w:rPr>
              <w:t>附件2：单位预算绩效目标表</w:t>
            </w:r>
          </w:p>
        </w:tc>
      </w:tr>
    </w:tbl>
    <w:p>
      <w:pPr>
        <w:pStyle w:val="15"/>
        <w:ind w:firstLine="640"/>
      </w:pPr>
    </w:p>
    <w:sectPr>
      <w:footerReference r:id="rId3" w:type="default"/>
      <w:footerReference r:id="rId4" w:type="even"/>
      <w:pgSz w:w="11906" w:h="16838"/>
      <w:pgMar w:top="1701" w:right="1474" w:bottom="1576"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黑体">
    <w:altName w:val="黑体"/>
    <w:panose1 w:val="03000509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楷体">
    <w:altName w:val="宋体"/>
    <w:panose1 w:val="03000509000000000000"/>
    <w:charset w:val="86"/>
    <w:family w:val="script"/>
    <w:pitch w:val="default"/>
    <w:sig w:usb0="00000000" w:usb1="00000000" w:usb2="00000010" w:usb3="00000000" w:csb0="00040000" w:csb1="00000000"/>
  </w:font>
  <w:font w:name="方正仿宋">
    <w:altName w:val="Arial Unicode MS"/>
    <w:panose1 w:val="03000509000000000000"/>
    <w:charset w:val="86"/>
    <w:family w:val="script"/>
    <w:pitch w:val="default"/>
    <w:sig w:usb0="00000000" w:usb1="00000000" w:usb2="00000010" w:usb3="00000000" w:csb0="00040000" w:csb1="00000000"/>
  </w:font>
  <w:font w:name="方正书宋">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sz w:val="24"/>
        <w:szCs w:val="24"/>
      </w:rPr>
    </w:pPr>
    <w:r>
      <w:rPr>
        <w:rStyle w:val="11"/>
        <w:rFonts w:hint="eastAsia"/>
        <w:sz w:val="24"/>
        <w:szCs w:val="24"/>
      </w:rPr>
      <w:t>—　</w:t>
    </w:r>
    <w:r>
      <w:rPr>
        <w:rStyle w:val="11"/>
        <w:sz w:val="24"/>
        <w:szCs w:val="24"/>
      </w:rPr>
      <w:fldChar w:fldCharType="begin"/>
    </w:r>
    <w:r>
      <w:rPr>
        <w:rStyle w:val="11"/>
        <w:sz w:val="24"/>
        <w:szCs w:val="24"/>
      </w:rPr>
      <w:instrText xml:space="preserve">PAGE  </w:instrText>
    </w:r>
    <w:r>
      <w:rPr>
        <w:rStyle w:val="11"/>
        <w:sz w:val="24"/>
        <w:szCs w:val="24"/>
      </w:rPr>
      <w:fldChar w:fldCharType="separate"/>
    </w:r>
    <w:r>
      <w:rPr>
        <w:rStyle w:val="11"/>
        <w:sz w:val="24"/>
        <w:szCs w:val="24"/>
      </w:rPr>
      <w:t>3</w:t>
    </w:r>
    <w:r>
      <w:rPr>
        <w:rStyle w:val="11"/>
        <w:sz w:val="24"/>
        <w:szCs w:val="24"/>
      </w:rPr>
      <w:fldChar w:fldCharType="end"/>
    </w:r>
    <w:r>
      <w:rPr>
        <w:rStyle w:val="11"/>
        <w:rFonts w:hint="eastAsia"/>
        <w:sz w:val="24"/>
        <w:szCs w:val="24"/>
      </w:rPr>
      <w:t>　—</w: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jNzRhMGFmMzM4YmU0NjA1ZDA4YTc5ZjM5YzNhMjgifQ=="/>
  </w:docVars>
  <w:rsids>
    <w:rsidRoot w:val="003D0367"/>
    <w:rsid w:val="00051861"/>
    <w:rsid w:val="0007098E"/>
    <w:rsid w:val="001218F9"/>
    <w:rsid w:val="00325A7E"/>
    <w:rsid w:val="003B6512"/>
    <w:rsid w:val="003D0367"/>
    <w:rsid w:val="003F2A0A"/>
    <w:rsid w:val="00430EB1"/>
    <w:rsid w:val="00435895"/>
    <w:rsid w:val="00521C2B"/>
    <w:rsid w:val="00571AFB"/>
    <w:rsid w:val="005A3BD4"/>
    <w:rsid w:val="00643736"/>
    <w:rsid w:val="006465E7"/>
    <w:rsid w:val="00647B4E"/>
    <w:rsid w:val="0087087E"/>
    <w:rsid w:val="008D1842"/>
    <w:rsid w:val="00901D07"/>
    <w:rsid w:val="00AD12FE"/>
    <w:rsid w:val="00CA0E30"/>
    <w:rsid w:val="00D0621A"/>
    <w:rsid w:val="00D20A2A"/>
    <w:rsid w:val="00DC5A3D"/>
    <w:rsid w:val="00F02B2C"/>
    <w:rsid w:val="00F14723"/>
    <w:rsid w:val="00F86458"/>
    <w:rsid w:val="00FC4B22"/>
    <w:rsid w:val="6A226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10">
    <w:name w:val="Strong"/>
    <w:basedOn w:val="9"/>
    <w:qFormat/>
    <w:uiPriority w:val="22"/>
    <w:rPr>
      <w:b/>
      <w:bCs/>
    </w:rPr>
  </w:style>
  <w:style w:type="character" w:styleId="11">
    <w:name w:val="page number"/>
    <w:basedOn w:val="9"/>
    <w:uiPriority w:val="0"/>
  </w:style>
  <w:style w:type="paragraph" w:customStyle="1" w:styleId="12">
    <w:name w:val="大标题"/>
    <w:basedOn w:val="2"/>
    <w:uiPriority w:val="0"/>
    <w:pPr>
      <w:keepNext w:val="0"/>
      <w:keepLines w:val="0"/>
      <w:snapToGrid w:val="0"/>
      <w:spacing w:before="0" w:after="0" w:line="240" w:lineRule="auto"/>
      <w:jc w:val="center"/>
    </w:pPr>
    <w:rPr>
      <w:rFonts w:ascii="方正黑体" w:eastAsia="方正小标宋简体"/>
      <w:b w:val="0"/>
      <w:kern w:val="2"/>
      <w:szCs w:val="28"/>
    </w:rPr>
  </w:style>
  <w:style w:type="paragraph" w:customStyle="1" w:styleId="13">
    <w:name w:val="一级标题"/>
    <w:basedOn w:val="3"/>
    <w:uiPriority w:val="0"/>
    <w:pPr>
      <w:keepNext w:val="0"/>
      <w:keepLines w:val="0"/>
      <w:snapToGrid w:val="0"/>
      <w:spacing w:before="0" w:after="0" w:line="319" w:lineRule="auto"/>
      <w:ind w:firstLine="200" w:firstLineChars="200"/>
    </w:pPr>
    <w:rPr>
      <w:rFonts w:eastAsia="方正黑体"/>
      <w:b w:val="0"/>
    </w:rPr>
  </w:style>
  <w:style w:type="paragraph" w:customStyle="1" w:styleId="14">
    <w:name w:val="二级标题"/>
    <w:basedOn w:val="4"/>
    <w:uiPriority w:val="0"/>
    <w:pPr>
      <w:keepNext w:val="0"/>
      <w:keepLines w:val="0"/>
      <w:snapToGrid w:val="0"/>
      <w:spacing w:before="0" w:after="0" w:line="319" w:lineRule="auto"/>
      <w:ind w:firstLine="200" w:firstLineChars="200"/>
    </w:pPr>
    <w:rPr>
      <w:rFonts w:eastAsia="方正楷体"/>
      <w:b w:val="0"/>
    </w:rPr>
  </w:style>
  <w:style w:type="paragraph" w:customStyle="1" w:styleId="15">
    <w:name w:val="方正正文"/>
    <w:basedOn w:val="1"/>
    <w:uiPriority w:val="0"/>
    <w:pPr>
      <w:snapToGrid w:val="0"/>
      <w:spacing w:line="319" w:lineRule="auto"/>
      <w:ind w:firstLine="200" w:firstLineChars="200"/>
    </w:pPr>
    <w:rPr>
      <w:rFonts w:eastAsia="方正仿宋"/>
      <w:sz w:val="32"/>
    </w:rPr>
  </w:style>
  <w:style w:type="paragraph" w:customStyle="1" w:styleId="16">
    <w:name w:val="正文要点"/>
    <w:basedOn w:val="15"/>
    <w:uiPriority w:val="0"/>
    <w:pPr>
      <w:ind w:firstLine="640"/>
    </w:pPr>
    <w:rPr>
      <w:rFonts w:eastAsia="方正书宋"/>
      <w:sz w:val="30"/>
    </w:rPr>
  </w:style>
  <w:style w:type="paragraph" w:customStyle="1" w:styleId="17">
    <w:name w:val="正规副标题"/>
    <w:basedOn w:val="14"/>
    <w:uiPriority w:val="0"/>
    <w:pPr>
      <w:ind w:firstLine="0" w:firstLineChars="0"/>
      <w:jc w:val="center"/>
    </w:pPr>
  </w:style>
  <w:style w:type="paragraph" w:customStyle="1" w:styleId="18">
    <w:name w:val="二级标题 + 首行缩进:  2 字符"/>
    <w:basedOn w:val="14"/>
    <w:uiPriority w:val="0"/>
    <w:pPr>
      <w:ind w:firstLine="640"/>
    </w:pPr>
    <w:rPr>
      <w:rFonts w:cs="宋体"/>
      <w:bCs w:val="0"/>
      <w:szCs w:val="20"/>
    </w:rPr>
  </w:style>
  <w:style w:type="paragraph" w:customStyle="1" w:styleId="19">
    <w:name w:val="样式 方正正文 + 首行缩进:  2 字符"/>
    <w:basedOn w:val="15"/>
    <w:uiPriority w:val="0"/>
    <w:pPr>
      <w:ind w:firstLine="640"/>
    </w:pPr>
    <w:rPr>
      <w:rFonts w:cs="宋体"/>
      <w:szCs w:val="20"/>
    </w:rPr>
  </w:style>
  <w:style w:type="paragraph" w:customStyle="1" w:styleId="20">
    <w:name w:val="一级标题 + 首行缩进:  2 字符"/>
    <w:basedOn w:val="13"/>
    <w:uiPriority w:val="0"/>
    <w:pPr>
      <w:ind w:firstLine="640"/>
    </w:pPr>
    <w:rPr>
      <w:rFonts w:cs="宋体"/>
      <w:bCs w:val="0"/>
      <w:szCs w:val="20"/>
    </w:rPr>
  </w:style>
  <w:style w:type="paragraph" w:customStyle="1" w:styleId="21">
    <w:name w:val="样式 正文要点 + 首行缩进:  2 字符"/>
    <w:basedOn w:val="16"/>
    <w:uiPriority w:val="0"/>
    <w:pPr>
      <w:ind w:firstLine="600"/>
    </w:pPr>
    <w:rPr>
      <w:rFonts w:cs="宋体"/>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5155</Words>
  <Characters>7196</Characters>
  <Lines>52</Lines>
  <Paragraphs>14</Paragraphs>
  <TotalTime>35</TotalTime>
  <ScaleCrop>false</ScaleCrop>
  <LinksUpToDate>false</LinksUpToDate>
  <CharactersWithSpaces>7199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2023-06-27T07:47:00Z</dcterms:created>
  <dc:creator>微软中国</dc:creator>
  <cp:lastModifiedBy>王宇林</cp:lastModifiedBy>
  <dcterms:modified xsi:type="dcterms:W3CDTF">2023-06-28T01:48:51Z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32762DA13C694A6CB04F86DC238E5771_12</vt:lpwstr>
  </property>
</Properties>
</file>